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4" w:rsidRPr="005255CB" w:rsidRDefault="00DB64C4" w:rsidP="002D625C">
      <w:pPr>
        <w:ind w:left="9912"/>
        <w:rPr>
          <w:rFonts w:ascii="Times New Roman" w:hAnsi="Times New Roman" w:cs="Times New Roman"/>
          <w:sz w:val="24"/>
          <w:szCs w:val="24"/>
        </w:rPr>
      </w:pPr>
      <w:r w:rsidRPr="005255CB">
        <w:rPr>
          <w:rFonts w:ascii="Times New Roman" w:hAnsi="Times New Roman" w:cs="Times New Roman"/>
          <w:sz w:val="24"/>
          <w:szCs w:val="24"/>
        </w:rPr>
        <w:t>Приложение № 1 к тендерной документации</w:t>
      </w:r>
    </w:p>
    <w:p w:rsidR="00DB64C4" w:rsidRPr="005255CB" w:rsidRDefault="00DB64C4" w:rsidP="00DB6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1CA" w:rsidRDefault="00DB64C4" w:rsidP="009171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171CA">
        <w:rPr>
          <w:rFonts w:ascii="Times New Roman" w:hAnsi="Times New Roman"/>
          <w:b/>
          <w:sz w:val="24"/>
          <w:szCs w:val="24"/>
        </w:rPr>
        <w:t>Техническая спецификация на</w:t>
      </w:r>
      <w:r w:rsidR="009171CA" w:rsidRPr="009171CA">
        <w:rPr>
          <w:rFonts w:ascii="Times New Roman" w:hAnsi="Times New Roman"/>
          <w:b/>
          <w:sz w:val="24"/>
          <w:szCs w:val="24"/>
        </w:rPr>
        <w:t xml:space="preserve"> набор</w:t>
      </w:r>
      <w:r w:rsidRPr="009171CA">
        <w:rPr>
          <w:rFonts w:ascii="Times New Roman" w:hAnsi="Times New Roman"/>
          <w:b/>
          <w:sz w:val="24"/>
          <w:szCs w:val="24"/>
        </w:rPr>
        <w:t xml:space="preserve"> </w:t>
      </w:r>
      <w:r w:rsidR="009171CA" w:rsidRPr="009171CA">
        <w:rPr>
          <w:rFonts w:ascii="Times New Roman" w:hAnsi="Times New Roman"/>
          <w:b/>
          <w:sz w:val="24"/>
          <w:szCs w:val="24"/>
        </w:rPr>
        <w:t xml:space="preserve">реагентов на закрытую систему </w:t>
      </w:r>
      <w:r w:rsidR="009171CA" w:rsidRPr="009171CA">
        <w:rPr>
          <w:rFonts w:ascii="Times New Roman" w:hAnsi="Times New Roman"/>
          <w:b/>
          <w:sz w:val="24"/>
          <w:szCs w:val="24"/>
          <w:lang w:val="en-US"/>
        </w:rPr>
        <w:t>Victor</w:t>
      </w:r>
      <w:r w:rsidR="009171CA" w:rsidRPr="009171CA">
        <w:rPr>
          <w:rFonts w:ascii="Times New Roman" w:hAnsi="Times New Roman"/>
          <w:b/>
          <w:sz w:val="24"/>
          <w:szCs w:val="24"/>
        </w:rPr>
        <w:t xml:space="preserve">, </w:t>
      </w:r>
    </w:p>
    <w:p w:rsidR="00425F59" w:rsidRPr="009171CA" w:rsidRDefault="008A10BD" w:rsidP="009171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проведения </w:t>
      </w:r>
      <w:proofErr w:type="spellStart"/>
      <w:r>
        <w:rPr>
          <w:rFonts w:ascii="Times New Roman" w:hAnsi="Times New Roman"/>
          <w:b/>
          <w:sz w:val="24"/>
          <w:szCs w:val="24"/>
        </w:rPr>
        <w:t>пре</w:t>
      </w:r>
      <w:r w:rsidR="009171CA" w:rsidRPr="009171CA">
        <w:rPr>
          <w:rFonts w:ascii="Times New Roman" w:hAnsi="Times New Roman"/>
          <w:b/>
          <w:sz w:val="24"/>
          <w:szCs w:val="24"/>
        </w:rPr>
        <w:t>натального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биохимического</w:t>
      </w:r>
      <w:r w:rsidR="009171CA" w:rsidRPr="009171CA">
        <w:rPr>
          <w:rFonts w:ascii="Times New Roman" w:hAnsi="Times New Roman"/>
          <w:b/>
          <w:sz w:val="24"/>
          <w:szCs w:val="24"/>
        </w:rPr>
        <w:t xml:space="preserve"> скрининга</w:t>
      </w:r>
      <w:r w:rsidR="009171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беременных женщин</w:t>
      </w:r>
      <w:r w:rsidR="00DB086A" w:rsidRPr="009171C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B64C4" w:rsidRPr="009171CA">
        <w:rPr>
          <w:rFonts w:ascii="Times New Roman" w:hAnsi="Times New Roman"/>
          <w:b/>
          <w:sz w:val="24"/>
          <w:szCs w:val="24"/>
        </w:rPr>
        <w:t>для</w:t>
      </w:r>
      <w:proofErr w:type="gramEnd"/>
    </w:p>
    <w:p w:rsidR="00425F59" w:rsidRPr="009171CA" w:rsidRDefault="00425F59" w:rsidP="009171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171CA">
        <w:rPr>
          <w:rFonts w:ascii="Times New Roman" w:hAnsi="Times New Roman"/>
          <w:b/>
          <w:sz w:val="24"/>
          <w:szCs w:val="24"/>
        </w:rPr>
        <w:t>Многопрофильной</w:t>
      </w:r>
      <w:r w:rsidR="00DB64C4" w:rsidRPr="009171CA">
        <w:rPr>
          <w:rFonts w:ascii="Times New Roman" w:hAnsi="Times New Roman"/>
          <w:b/>
          <w:sz w:val="24"/>
          <w:szCs w:val="24"/>
        </w:rPr>
        <w:t xml:space="preserve"> областной больницы </w:t>
      </w:r>
      <w:r w:rsidRPr="009171CA">
        <w:rPr>
          <w:rFonts w:ascii="Times New Roman" w:hAnsi="Times New Roman"/>
          <w:b/>
          <w:sz w:val="24"/>
          <w:szCs w:val="24"/>
        </w:rPr>
        <w:t>на 201</w:t>
      </w:r>
      <w:r w:rsidR="00691E32" w:rsidRPr="009171CA">
        <w:rPr>
          <w:rFonts w:ascii="Times New Roman" w:hAnsi="Times New Roman"/>
          <w:b/>
          <w:sz w:val="24"/>
          <w:szCs w:val="24"/>
        </w:rPr>
        <w:t>9</w:t>
      </w:r>
      <w:r w:rsidRPr="009171C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B64C4" w:rsidRPr="005255CB" w:rsidRDefault="00DB64C4" w:rsidP="00DB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32" w:type="pct"/>
        <w:tblInd w:w="534" w:type="dxa"/>
        <w:tblLayout w:type="fixed"/>
        <w:tblLook w:val="04A0"/>
      </w:tblPr>
      <w:tblGrid>
        <w:gridCol w:w="779"/>
        <w:gridCol w:w="2766"/>
        <w:gridCol w:w="11840"/>
      </w:tblGrid>
      <w:tr w:rsidR="001D6E34" w:rsidRPr="007D42B7" w:rsidTr="008A10BD">
        <w:tc>
          <w:tcPr>
            <w:tcW w:w="253" w:type="pct"/>
            <w:vAlign w:val="center"/>
          </w:tcPr>
          <w:p w:rsidR="001D6E34" w:rsidRPr="007D42B7" w:rsidRDefault="001D6E34" w:rsidP="001D6E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899" w:type="pct"/>
            <w:vAlign w:val="center"/>
          </w:tcPr>
          <w:p w:rsidR="001D6E34" w:rsidRPr="007D42B7" w:rsidRDefault="001D6E34" w:rsidP="008A10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8A1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закупаемых товаров</w:t>
            </w:r>
          </w:p>
        </w:tc>
        <w:tc>
          <w:tcPr>
            <w:tcW w:w="3848" w:type="pct"/>
          </w:tcPr>
          <w:p w:rsidR="001D6E34" w:rsidRPr="007D42B7" w:rsidRDefault="001D6E34" w:rsidP="001D6E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спецификация</w:t>
            </w:r>
          </w:p>
        </w:tc>
      </w:tr>
      <w:tr w:rsidR="0003085D" w:rsidRPr="007D42B7" w:rsidTr="0003085D">
        <w:trPr>
          <w:trHeight w:val="948"/>
        </w:trPr>
        <w:tc>
          <w:tcPr>
            <w:tcW w:w="253" w:type="pct"/>
            <w:noWrap/>
            <w:vAlign w:val="center"/>
            <w:hideMark/>
          </w:tcPr>
          <w:p w:rsidR="0003085D" w:rsidRPr="007D3D33" w:rsidRDefault="0003085D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pct"/>
            <w:hideMark/>
          </w:tcPr>
          <w:p w:rsidR="0003085D" w:rsidRPr="002629EF" w:rsidRDefault="0003085D" w:rsidP="008C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количественного определения РАРР-А и свободной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бета-субъединицы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ХГЧ в материнской крови, высушенной на фильтровальной бумаге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AutoDelfia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PAPP-A/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hCGB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dual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DBS</w:t>
            </w:r>
            <w:proofErr w:type="gramEnd"/>
          </w:p>
        </w:tc>
        <w:tc>
          <w:tcPr>
            <w:tcW w:w="3848" w:type="pct"/>
            <w:hideMark/>
          </w:tcPr>
          <w:p w:rsidR="0003085D" w:rsidRPr="007D3D33" w:rsidRDefault="002629EF" w:rsidP="0029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Набор для количественного определения PAPP-A (Ассоциированного с беременностью протеин</w:t>
            </w:r>
            <w:proofErr w:type="gram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плазмы человека) и свободной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бета-субъединицы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хорионического гонадотропина человека (свободная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бета-ХГЧ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) в материнской крови, высушенной на фильтровальной бумаге, для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пренатального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скрининга беременных на хромосомную патологию плода в первом триместре беременности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на закрытом анализаторе. Применяются совместно с программами вычисления степени риска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LifeCycle</w:t>
            </w:r>
            <w:proofErr w:type="spellEnd"/>
            <w:r w:rsidR="0018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(TM).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Метод –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иммунофлюоресценция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с разрешением по времени  на основе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лантанидных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Eu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) меток – в наличие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Длина волн измерения -340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нм (возбуждение) и 615\640 нм (испускание) - в наличии, Измерение флюоресценции на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микропланшетах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(96 лунок)- в наличие. Концентрационный диапазон измерения: для PAPP-A = 0-22 </w:t>
            </w:r>
            <w:proofErr w:type="spellStart"/>
            <w:proofErr w:type="gram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/л, для свободной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бета-субъединицы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ХГЧ  = 0-500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/мл – в наличие. Стандарты на фильтровальных бланках (Ватман №903), не менее 6 уровней, откалиброванные по второму стандарту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ВОЗ №80/558 – в наличие. Контроли на фильтровальных бланках (Ватман №903), 3 уровня – в наличие. Процент разброса в параллелях (CV%) для  стандартов и контролей не более 10% по каждому из маркеров – в наличие. Аналитическая чувствительность – менее чем 0.1 </w:t>
            </w:r>
            <w:proofErr w:type="spellStart"/>
            <w:proofErr w:type="gram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/л для ПАПП-А и менее чем 8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/мл для св.бета ХГЧ – в наличие.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Воспроизводимость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- не менее 98% в пределах срока годности – в наличие. Состав набора: Стандарты (1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контроли (1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), меченые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proofErr w:type="gram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антитела к PAPP-A (5фл), меченые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антитела к ХГЧ (5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),, буфер для инкубации (5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микротитровальные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планшеты (5 шт.), покрытые антителами к PAPP-A  и к свободной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бета-субъединицы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ХГЧ, сертификат контроля качества – в наличие.  На 480 определений по сухим пятнам крови -  в наличие. Маркировка 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CEmarked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 - в наличие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085D" w:rsidRPr="007D42B7" w:rsidTr="0003085D">
        <w:trPr>
          <w:trHeight w:val="948"/>
        </w:trPr>
        <w:tc>
          <w:tcPr>
            <w:tcW w:w="253" w:type="pct"/>
            <w:noWrap/>
            <w:vAlign w:val="center"/>
            <w:hideMark/>
          </w:tcPr>
          <w:p w:rsidR="0003085D" w:rsidRPr="007D3D33" w:rsidRDefault="0003085D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pct"/>
            <w:hideMark/>
          </w:tcPr>
          <w:p w:rsidR="0003085D" w:rsidRPr="002629EF" w:rsidRDefault="0003085D" w:rsidP="008C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Фильтровальные бланки для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пренатального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скрининга (1000 штук/упаковка)</w:t>
            </w:r>
          </w:p>
        </w:tc>
        <w:tc>
          <w:tcPr>
            <w:tcW w:w="3848" w:type="pct"/>
            <w:hideMark/>
          </w:tcPr>
          <w:p w:rsidR="0003085D" w:rsidRPr="007D3D33" w:rsidRDefault="002629EF" w:rsidP="0029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Бумага TFN производится из 100% чистого хлопкового очеса без добавок для усиления прочности во влажном состоянии. Состав бумаги может влиять на стабильность собранного образца.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Мунктелл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контролирует производственный процесс, чтобы гарантировать постоянство состава, равномерную толщину, скорость фильтрации, чистоту и поглощающую способность, обеспечивая высокое качество. Фильтровальные бланки для взятия крови беременных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prenatal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DBS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cards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, 1уп./ 1000 бланков. - Фильтровальные тест – бланки на основе фильтровальной бумаги S&amp;S 903, изготовленной из 100% хлопка. Внешний вид – форма прямоугольника, размером 70х120 мм, с текстом инструкции по взятию крови, тремя кружками для взятия крови. Плотность – 186.3 (160-195) г/м. Толщина – 0.531(0.46 – 0.58) мм. Объем  сыворотки – 1.54 (1.37 – 1.71) мкл на диск размером 3.2 мм. Время адсорбции сыворотки – 5.7 (5 - 30) сек. Диаметр пятна при нанесении  100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мкл сыворотки – 16 (15 – 17) мм. Фасовка – 1000 штук/упаковка. Условия хранения – 8 +25 С. Срок годности – 2 года </w:t>
            </w:r>
            <w:proofErr w:type="gram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с даты производства</w:t>
            </w:r>
            <w:proofErr w:type="gramEnd"/>
            <w:r w:rsidR="00187B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085D" w:rsidRPr="007D42B7" w:rsidTr="002629EF">
        <w:trPr>
          <w:trHeight w:val="726"/>
        </w:trPr>
        <w:tc>
          <w:tcPr>
            <w:tcW w:w="253" w:type="pct"/>
            <w:noWrap/>
            <w:vAlign w:val="center"/>
            <w:hideMark/>
          </w:tcPr>
          <w:p w:rsidR="0003085D" w:rsidRPr="007D3D33" w:rsidRDefault="0003085D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pct"/>
            <w:hideMark/>
          </w:tcPr>
          <w:p w:rsidR="0003085D" w:rsidRPr="002629EF" w:rsidRDefault="0003085D" w:rsidP="008C5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Усиливающий раствор (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Enhancement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48" w:type="pct"/>
            <w:hideMark/>
          </w:tcPr>
          <w:p w:rsidR="0003085D" w:rsidRPr="007D3D33" w:rsidRDefault="002629EF" w:rsidP="002629EF">
            <w:pPr>
              <w:tabs>
                <w:tab w:val="left" w:pos="15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Для использования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для количественного определения европия (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Eu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) и самария (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Sm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) по методу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флюороиммунного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с разрешением по времени. Усиливающий, готовый к использованию раствор с Тритон Х-100, глицином,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гидрохлорной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кислотой и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хелаторами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1 флакон 250мл, в упаковке 8 флаконов. +2…...+8</w:t>
            </w:r>
            <w:proofErr w:type="gram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˚С</w:t>
            </w:r>
            <w:proofErr w:type="gram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, защита от света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085D" w:rsidRPr="007D42B7" w:rsidTr="0003085D">
        <w:trPr>
          <w:trHeight w:val="583"/>
        </w:trPr>
        <w:tc>
          <w:tcPr>
            <w:tcW w:w="253" w:type="pct"/>
            <w:noWrap/>
            <w:vAlign w:val="center"/>
            <w:hideMark/>
          </w:tcPr>
          <w:p w:rsidR="0003085D" w:rsidRPr="007D3D33" w:rsidRDefault="0003085D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pct"/>
            <w:hideMark/>
          </w:tcPr>
          <w:p w:rsidR="0003085D" w:rsidRPr="002629EF" w:rsidRDefault="0003085D" w:rsidP="008C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Промывочный буфер (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Wash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Concentrate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48" w:type="pct"/>
            <w:hideMark/>
          </w:tcPr>
          <w:p w:rsidR="0003085D" w:rsidRPr="007D3D33" w:rsidRDefault="002629EF" w:rsidP="00294F1B">
            <w:pPr>
              <w:tabs>
                <w:tab w:val="left" w:pos="12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для метода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флюороиммунного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с разрешением по времени. Промывочный буфер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АвтоДЕЛФИЯ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концентрированным, (25 кратный) раствором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Трис-HCl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буфера (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7.8) с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, с Твин 20 и </w:t>
            </w:r>
            <w:proofErr w:type="spell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Germall</w:t>
            </w:r>
            <w:proofErr w:type="spell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 xml:space="preserve"> II  в качестве консерванта.1 флакон 250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мл, в упаковке 8 флаконов. +2…...+8</w:t>
            </w:r>
            <w:proofErr w:type="gramStart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˚С</w:t>
            </w:r>
            <w:proofErr w:type="gramEnd"/>
            <w:r w:rsidRPr="002629EF">
              <w:rPr>
                <w:rFonts w:ascii="Times New Roman" w:hAnsi="Times New Roman" w:cs="Times New Roman"/>
                <w:sz w:val="20"/>
                <w:szCs w:val="20"/>
              </w:rPr>
              <w:t>, защита от света</w:t>
            </w:r>
            <w:r w:rsidR="00187B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F5831" w:rsidRDefault="005F5831" w:rsidP="00A81B9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B086A" w:rsidRPr="00187B7A" w:rsidRDefault="00691E32" w:rsidP="00187B7A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Шевченко И. А.</w:t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  <w:t>Заведующ</w:t>
      </w:r>
      <w:r w:rsidR="0035355E">
        <w:rPr>
          <w:rFonts w:ascii="Times New Roman" w:hAnsi="Times New Roman" w:cs="Times New Roman"/>
          <w:b/>
          <w:sz w:val="24"/>
          <w:szCs w:val="24"/>
        </w:rPr>
        <w:t>ая</w:t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355E">
        <w:rPr>
          <w:rFonts w:ascii="Times New Roman" w:hAnsi="Times New Roman" w:cs="Times New Roman"/>
          <w:b/>
          <w:sz w:val="24"/>
          <w:szCs w:val="24"/>
        </w:rPr>
        <w:t>распред</w:t>
      </w:r>
      <w:proofErr w:type="spellEnd"/>
      <w:r w:rsidR="0035355E">
        <w:rPr>
          <w:rFonts w:ascii="Times New Roman" w:hAnsi="Times New Roman" w:cs="Times New Roman"/>
          <w:b/>
          <w:sz w:val="24"/>
          <w:szCs w:val="24"/>
        </w:rPr>
        <w:t xml:space="preserve"> пунктом</w:t>
      </w:r>
    </w:p>
    <w:sectPr w:rsidR="00DB086A" w:rsidRPr="00187B7A" w:rsidSect="00C65C15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A91"/>
    <w:multiLevelType w:val="hybridMultilevel"/>
    <w:tmpl w:val="711A8866"/>
    <w:lvl w:ilvl="0" w:tplc="3ADEE286">
      <w:start w:val="1"/>
      <w:numFmt w:val="decimal"/>
      <w:lvlText w:val="%1."/>
      <w:lvlJc w:val="left"/>
      <w:pPr>
        <w:ind w:left="4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4E374BBE"/>
    <w:multiLevelType w:val="hybridMultilevel"/>
    <w:tmpl w:val="EF5A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4226"/>
    <w:multiLevelType w:val="hybridMultilevel"/>
    <w:tmpl w:val="D28A8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754"/>
    <w:rsid w:val="000156BA"/>
    <w:rsid w:val="000173EC"/>
    <w:rsid w:val="00017AF3"/>
    <w:rsid w:val="0003085D"/>
    <w:rsid w:val="00040EDC"/>
    <w:rsid w:val="00087D56"/>
    <w:rsid w:val="000960A3"/>
    <w:rsid w:val="000B0979"/>
    <w:rsid w:val="000E1009"/>
    <w:rsid w:val="000F5ABE"/>
    <w:rsid w:val="000F6D9B"/>
    <w:rsid w:val="00164C01"/>
    <w:rsid w:val="00165CFC"/>
    <w:rsid w:val="00183957"/>
    <w:rsid w:val="0018442D"/>
    <w:rsid w:val="00187542"/>
    <w:rsid w:val="00187B7A"/>
    <w:rsid w:val="00192734"/>
    <w:rsid w:val="001A66AD"/>
    <w:rsid w:val="001D6E34"/>
    <w:rsid w:val="001E4A5B"/>
    <w:rsid w:val="001F0DA5"/>
    <w:rsid w:val="001F504C"/>
    <w:rsid w:val="001F6F90"/>
    <w:rsid w:val="001F7CF2"/>
    <w:rsid w:val="00216A5D"/>
    <w:rsid w:val="00222937"/>
    <w:rsid w:val="0024132E"/>
    <w:rsid w:val="00251116"/>
    <w:rsid w:val="002629EF"/>
    <w:rsid w:val="00294F1B"/>
    <w:rsid w:val="002D2570"/>
    <w:rsid w:val="002D625C"/>
    <w:rsid w:val="002D73E0"/>
    <w:rsid w:val="00301FF4"/>
    <w:rsid w:val="00304ABC"/>
    <w:rsid w:val="00312401"/>
    <w:rsid w:val="00350A41"/>
    <w:rsid w:val="0035355E"/>
    <w:rsid w:val="00353914"/>
    <w:rsid w:val="00353C33"/>
    <w:rsid w:val="00354393"/>
    <w:rsid w:val="00363EA5"/>
    <w:rsid w:val="00370840"/>
    <w:rsid w:val="003A7DFD"/>
    <w:rsid w:val="003B598D"/>
    <w:rsid w:val="003C089A"/>
    <w:rsid w:val="003C12B7"/>
    <w:rsid w:val="00401532"/>
    <w:rsid w:val="0040773F"/>
    <w:rsid w:val="00414E57"/>
    <w:rsid w:val="00425F59"/>
    <w:rsid w:val="00440E2A"/>
    <w:rsid w:val="0045794D"/>
    <w:rsid w:val="00464A58"/>
    <w:rsid w:val="0048732E"/>
    <w:rsid w:val="004953F8"/>
    <w:rsid w:val="004B09F3"/>
    <w:rsid w:val="004B3433"/>
    <w:rsid w:val="004F538D"/>
    <w:rsid w:val="005255CB"/>
    <w:rsid w:val="00554C60"/>
    <w:rsid w:val="00567340"/>
    <w:rsid w:val="00570534"/>
    <w:rsid w:val="00574D73"/>
    <w:rsid w:val="00575853"/>
    <w:rsid w:val="00597576"/>
    <w:rsid w:val="005A146E"/>
    <w:rsid w:val="005B70AF"/>
    <w:rsid w:val="005C4392"/>
    <w:rsid w:val="005D6FF2"/>
    <w:rsid w:val="005F5831"/>
    <w:rsid w:val="0061416E"/>
    <w:rsid w:val="006168D7"/>
    <w:rsid w:val="0063652F"/>
    <w:rsid w:val="00641A31"/>
    <w:rsid w:val="00654DA6"/>
    <w:rsid w:val="0066766A"/>
    <w:rsid w:val="006737C0"/>
    <w:rsid w:val="00676DA0"/>
    <w:rsid w:val="00680618"/>
    <w:rsid w:val="00691E32"/>
    <w:rsid w:val="006B0754"/>
    <w:rsid w:val="006B5EF8"/>
    <w:rsid w:val="006B6335"/>
    <w:rsid w:val="006B7371"/>
    <w:rsid w:val="006C6A10"/>
    <w:rsid w:val="006D10F7"/>
    <w:rsid w:val="00702AAB"/>
    <w:rsid w:val="0071715B"/>
    <w:rsid w:val="0071721C"/>
    <w:rsid w:val="00730B33"/>
    <w:rsid w:val="0073537C"/>
    <w:rsid w:val="007369F1"/>
    <w:rsid w:val="007407CE"/>
    <w:rsid w:val="007443DB"/>
    <w:rsid w:val="00753E53"/>
    <w:rsid w:val="00774D82"/>
    <w:rsid w:val="00782347"/>
    <w:rsid w:val="007966C5"/>
    <w:rsid w:val="007970DA"/>
    <w:rsid w:val="007B118A"/>
    <w:rsid w:val="007D3D33"/>
    <w:rsid w:val="007D42B7"/>
    <w:rsid w:val="007F0B45"/>
    <w:rsid w:val="008245C5"/>
    <w:rsid w:val="00824A80"/>
    <w:rsid w:val="00825EA1"/>
    <w:rsid w:val="00840691"/>
    <w:rsid w:val="00844D37"/>
    <w:rsid w:val="0085300F"/>
    <w:rsid w:val="00861E33"/>
    <w:rsid w:val="00866677"/>
    <w:rsid w:val="008A10BD"/>
    <w:rsid w:val="008C24DD"/>
    <w:rsid w:val="008F626C"/>
    <w:rsid w:val="008F68E9"/>
    <w:rsid w:val="00903C27"/>
    <w:rsid w:val="009171CA"/>
    <w:rsid w:val="0092196F"/>
    <w:rsid w:val="00971ADA"/>
    <w:rsid w:val="00990759"/>
    <w:rsid w:val="009977E3"/>
    <w:rsid w:val="009D3157"/>
    <w:rsid w:val="009E1613"/>
    <w:rsid w:val="009E1D8E"/>
    <w:rsid w:val="009F3E87"/>
    <w:rsid w:val="00A03C17"/>
    <w:rsid w:val="00A11CEF"/>
    <w:rsid w:val="00A20683"/>
    <w:rsid w:val="00A45655"/>
    <w:rsid w:val="00A47CAF"/>
    <w:rsid w:val="00A614A9"/>
    <w:rsid w:val="00A671A4"/>
    <w:rsid w:val="00A81B95"/>
    <w:rsid w:val="00AC1A51"/>
    <w:rsid w:val="00AC5968"/>
    <w:rsid w:val="00AD719A"/>
    <w:rsid w:val="00AF0A61"/>
    <w:rsid w:val="00B00E19"/>
    <w:rsid w:val="00B05213"/>
    <w:rsid w:val="00B1741F"/>
    <w:rsid w:val="00B257A9"/>
    <w:rsid w:val="00B331D2"/>
    <w:rsid w:val="00B46B1B"/>
    <w:rsid w:val="00B51327"/>
    <w:rsid w:val="00B56A7B"/>
    <w:rsid w:val="00B747AB"/>
    <w:rsid w:val="00B75C05"/>
    <w:rsid w:val="00B76F72"/>
    <w:rsid w:val="00B90C7B"/>
    <w:rsid w:val="00B929BF"/>
    <w:rsid w:val="00B954C4"/>
    <w:rsid w:val="00B96983"/>
    <w:rsid w:val="00BD0810"/>
    <w:rsid w:val="00BD304B"/>
    <w:rsid w:val="00BF168A"/>
    <w:rsid w:val="00C02AEC"/>
    <w:rsid w:val="00C0316D"/>
    <w:rsid w:val="00C10F7B"/>
    <w:rsid w:val="00C24CD3"/>
    <w:rsid w:val="00C55A35"/>
    <w:rsid w:val="00C65C15"/>
    <w:rsid w:val="00C77836"/>
    <w:rsid w:val="00CA68FA"/>
    <w:rsid w:val="00CC1A1E"/>
    <w:rsid w:val="00CD19DF"/>
    <w:rsid w:val="00CD5819"/>
    <w:rsid w:val="00D1034B"/>
    <w:rsid w:val="00D31757"/>
    <w:rsid w:val="00D424D1"/>
    <w:rsid w:val="00D523AC"/>
    <w:rsid w:val="00DA1998"/>
    <w:rsid w:val="00DB086A"/>
    <w:rsid w:val="00DB64C4"/>
    <w:rsid w:val="00DD1381"/>
    <w:rsid w:val="00DD3EA4"/>
    <w:rsid w:val="00DF1642"/>
    <w:rsid w:val="00E04724"/>
    <w:rsid w:val="00E270D4"/>
    <w:rsid w:val="00E3034E"/>
    <w:rsid w:val="00E565CC"/>
    <w:rsid w:val="00E63055"/>
    <w:rsid w:val="00EA6A54"/>
    <w:rsid w:val="00ED2F97"/>
    <w:rsid w:val="00ED51E0"/>
    <w:rsid w:val="00EE7600"/>
    <w:rsid w:val="00EE77BC"/>
    <w:rsid w:val="00EF4BB2"/>
    <w:rsid w:val="00EF58FD"/>
    <w:rsid w:val="00EF7594"/>
    <w:rsid w:val="00F3563B"/>
    <w:rsid w:val="00F5703C"/>
    <w:rsid w:val="00F613E3"/>
    <w:rsid w:val="00FA16ED"/>
    <w:rsid w:val="00FA2B35"/>
    <w:rsid w:val="00FB683E"/>
    <w:rsid w:val="00FD31D8"/>
    <w:rsid w:val="00FE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10"/>
  </w:style>
  <w:style w:type="paragraph" w:styleId="1">
    <w:name w:val="heading 1"/>
    <w:basedOn w:val="a"/>
    <w:next w:val="a"/>
    <w:link w:val="10"/>
    <w:qFormat/>
    <w:rsid w:val="003C089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C089A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B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DB6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B64C4"/>
    <w:pPr>
      <w:ind w:left="720"/>
      <w:contextualSpacing/>
    </w:pPr>
  </w:style>
  <w:style w:type="paragraph" w:styleId="a8">
    <w:name w:val="Body Text"/>
    <w:basedOn w:val="a"/>
    <w:link w:val="a9"/>
    <w:rsid w:val="0092196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219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rsid w:val="00DB08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style-span">
    <w:name w:val="apple-style-span"/>
    <w:rsid w:val="00DB086A"/>
  </w:style>
  <w:style w:type="character" w:styleId="aa">
    <w:name w:val="Intense Emphasis"/>
    <w:uiPriority w:val="21"/>
    <w:qFormat/>
    <w:rsid w:val="00DB086A"/>
    <w:rPr>
      <w:b/>
      <w:bCs/>
      <w:i/>
      <w:iCs/>
      <w:color w:val="4F81BD"/>
    </w:rPr>
  </w:style>
  <w:style w:type="character" w:customStyle="1" w:styleId="hps">
    <w:name w:val="hps"/>
    <w:basedOn w:val="a0"/>
    <w:rsid w:val="00DB086A"/>
  </w:style>
  <w:style w:type="paragraph" w:styleId="ab">
    <w:name w:val="header"/>
    <w:basedOn w:val="a"/>
    <w:link w:val="ac"/>
    <w:uiPriority w:val="99"/>
    <w:unhideWhenUsed/>
    <w:rsid w:val="00DB086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ac">
    <w:name w:val="Верхний колонтитул Знак"/>
    <w:basedOn w:val="a0"/>
    <w:link w:val="ab"/>
    <w:uiPriority w:val="99"/>
    <w:rsid w:val="00DB086A"/>
    <w:rPr>
      <w:rFonts w:ascii="Calibri" w:eastAsia="Calibri" w:hAnsi="Calibri" w:cs="Times New Roman"/>
      <w:lang w:val="en-GB"/>
    </w:rPr>
  </w:style>
  <w:style w:type="character" w:customStyle="1" w:styleId="10">
    <w:name w:val="Заголовок 1 Знак"/>
    <w:basedOn w:val="a0"/>
    <w:link w:val="1"/>
    <w:rsid w:val="003C089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08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FA2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C82A-8421-452B-BD14-C6B5D79F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Госзакуп</cp:lastModifiedBy>
  <cp:revision>60</cp:revision>
  <cp:lastPrinted>2018-10-22T08:18:00Z</cp:lastPrinted>
  <dcterms:created xsi:type="dcterms:W3CDTF">2015-10-27T03:37:00Z</dcterms:created>
  <dcterms:modified xsi:type="dcterms:W3CDTF">2019-01-15T09:50:00Z</dcterms:modified>
</cp:coreProperties>
</file>